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05933E" w14:textId="4553B18E" w:rsidR="00EA6649" w:rsidRPr="00EA6649" w:rsidRDefault="00EA6649" w:rsidP="00EA6649">
      <w:pPr>
        <w:pStyle w:val="Heading1"/>
        <w:spacing w:before="0" w:line="480" w:lineRule="auto"/>
        <w:jc w:val="center"/>
        <w:rPr>
          <w:rFonts w:asciiTheme="minorHAnsi" w:hAnsiTheme="minorHAnsi" w:cstheme="minorHAnsi"/>
          <w:b/>
          <w:bCs/>
          <w:color w:val="000000" w:themeColor="text1"/>
          <w:sz w:val="22"/>
          <w:szCs w:val="22"/>
        </w:rPr>
      </w:pPr>
      <w:r w:rsidRPr="00EA6649">
        <w:rPr>
          <w:rFonts w:asciiTheme="minorHAnsi" w:hAnsiTheme="minorHAnsi" w:cstheme="minorHAnsi"/>
          <w:b/>
          <w:bCs/>
          <w:color w:val="000000" w:themeColor="text1"/>
          <w:sz w:val="22"/>
          <w:szCs w:val="22"/>
        </w:rPr>
        <w:t>Supporting Information for “Barometers behaving badly II: A critical evaluation of Cpx-only and Cpx-Liq thermobarometry in variably-hydrous arc magmas”</w:t>
      </w:r>
    </w:p>
    <w:p w14:paraId="5AEEAE21" w14:textId="77777777" w:rsidR="00EA6649" w:rsidRPr="00EA6649" w:rsidRDefault="00EA6649" w:rsidP="00EA6649">
      <w:pPr>
        <w:spacing w:line="480" w:lineRule="auto"/>
        <w:jc w:val="center"/>
        <w:rPr>
          <w:rFonts w:cstheme="minorHAnsi"/>
          <w:vertAlign w:val="superscript"/>
        </w:rPr>
      </w:pPr>
      <w:r w:rsidRPr="00EA6649">
        <w:rPr>
          <w:rFonts w:cstheme="minorHAnsi"/>
        </w:rPr>
        <w:t>Penny E. Wieser</w:t>
      </w:r>
      <w:r w:rsidRPr="00EA6649">
        <w:rPr>
          <w:rFonts w:cstheme="minorHAnsi"/>
          <w:vertAlign w:val="superscript"/>
        </w:rPr>
        <w:t>1,2</w:t>
      </w:r>
      <w:r w:rsidRPr="00EA6649">
        <w:rPr>
          <w:rFonts w:cstheme="minorHAnsi"/>
        </w:rPr>
        <w:t>, Adam Kent</w:t>
      </w:r>
      <w:r w:rsidRPr="00EA6649">
        <w:rPr>
          <w:rFonts w:cstheme="minorHAnsi"/>
          <w:vertAlign w:val="superscript"/>
        </w:rPr>
        <w:t>2</w:t>
      </w:r>
      <w:r w:rsidRPr="00EA6649">
        <w:rPr>
          <w:rFonts w:cstheme="minorHAnsi"/>
        </w:rPr>
        <w:t>, Christy Till</w:t>
      </w:r>
      <w:r w:rsidRPr="00EA6649">
        <w:rPr>
          <w:rFonts w:cstheme="minorHAnsi"/>
          <w:vertAlign w:val="superscript"/>
        </w:rPr>
        <w:t>3</w:t>
      </w:r>
    </w:p>
    <w:p w14:paraId="119B1011" w14:textId="77777777" w:rsidR="00EA6649" w:rsidRPr="00EA6649" w:rsidRDefault="00EA6649" w:rsidP="00EA6649">
      <w:pPr>
        <w:pStyle w:val="ListParagraph"/>
        <w:numPr>
          <w:ilvl w:val="0"/>
          <w:numId w:val="1"/>
        </w:numPr>
        <w:spacing w:line="480" w:lineRule="auto"/>
        <w:jc w:val="center"/>
        <w:rPr>
          <w:rFonts w:cstheme="minorHAnsi"/>
        </w:rPr>
      </w:pPr>
      <w:r w:rsidRPr="00EA6649">
        <w:rPr>
          <w:rFonts w:cstheme="minorHAnsi"/>
          <w:b/>
          <w:bCs/>
        </w:rPr>
        <w:t>Corresponding author</w:t>
      </w:r>
      <w:r w:rsidRPr="00EA6649">
        <w:rPr>
          <w:rFonts w:cstheme="minorHAnsi"/>
        </w:rPr>
        <w:t xml:space="preserve">: </w:t>
      </w:r>
      <w:hyperlink r:id="rId5" w:history="1">
        <w:r w:rsidRPr="00EA6649">
          <w:rPr>
            <w:rStyle w:val="Hyperlink"/>
            <w:rFonts w:cstheme="minorHAnsi"/>
          </w:rPr>
          <w:t>Penny_wieser@berkeley.edu</w:t>
        </w:r>
      </w:hyperlink>
      <w:r w:rsidRPr="00EA6649">
        <w:rPr>
          <w:rFonts w:cstheme="minorHAnsi"/>
        </w:rPr>
        <w:t xml:space="preserve">. Department of Earth and Planetary Sciences, McCone Hall, UC Berkeley, </w:t>
      </w:r>
      <w:r w:rsidRPr="00EA6649">
        <w:rPr>
          <w:rFonts w:cstheme="minorHAnsi"/>
          <w:color w:val="202124"/>
          <w:shd w:val="clear" w:color="auto" w:fill="FFFFFF"/>
        </w:rPr>
        <w:t>94720, USA</w:t>
      </w:r>
    </w:p>
    <w:p w14:paraId="04C41B1F" w14:textId="77777777" w:rsidR="00EA6649" w:rsidRPr="00EA6649" w:rsidRDefault="00EA6649" w:rsidP="00EA6649">
      <w:pPr>
        <w:pStyle w:val="ListParagraph"/>
        <w:numPr>
          <w:ilvl w:val="0"/>
          <w:numId w:val="1"/>
        </w:numPr>
        <w:spacing w:line="480" w:lineRule="auto"/>
        <w:jc w:val="center"/>
        <w:rPr>
          <w:rFonts w:cstheme="minorHAnsi"/>
        </w:rPr>
      </w:pPr>
      <w:r w:rsidRPr="00EA6649">
        <w:rPr>
          <w:rFonts w:cstheme="minorHAnsi"/>
        </w:rPr>
        <w:t>College of Earth, Ocean and Atmospheric Sciences, Oregon State University, 97331, USA</w:t>
      </w:r>
    </w:p>
    <w:p w14:paraId="7251178D" w14:textId="77777777" w:rsidR="00EA6649" w:rsidRDefault="00EA6649" w:rsidP="00EA6649">
      <w:pPr>
        <w:pStyle w:val="ListParagraph"/>
        <w:numPr>
          <w:ilvl w:val="0"/>
          <w:numId w:val="1"/>
        </w:numPr>
        <w:spacing w:line="480" w:lineRule="auto"/>
        <w:jc w:val="center"/>
        <w:rPr>
          <w:rFonts w:cstheme="minorHAnsi"/>
        </w:rPr>
      </w:pPr>
      <w:r w:rsidRPr="00EA6649">
        <w:rPr>
          <w:rFonts w:cstheme="minorHAnsi"/>
        </w:rPr>
        <w:t>School of Earth and Space Exploration, Arizona State University, Tempe, AZ 85281, USA</w:t>
      </w:r>
    </w:p>
    <w:p w14:paraId="386153F2" w14:textId="77777777" w:rsidR="0048761D" w:rsidRDefault="0048761D" w:rsidP="0048761D">
      <w:pPr>
        <w:pStyle w:val="ListParagraph"/>
        <w:spacing w:line="480" w:lineRule="auto"/>
        <w:rPr>
          <w:rFonts w:cstheme="minorHAnsi"/>
        </w:rPr>
      </w:pPr>
    </w:p>
    <w:p w14:paraId="0C508420" w14:textId="75E6EE40" w:rsidR="0048761D" w:rsidRPr="0048761D" w:rsidRDefault="0048761D" w:rsidP="0048761D">
      <w:pPr>
        <w:pStyle w:val="ListParagraph"/>
        <w:spacing w:line="480" w:lineRule="auto"/>
        <w:rPr>
          <w:rFonts w:cstheme="minorHAnsi"/>
          <w:b/>
          <w:bCs/>
        </w:rPr>
      </w:pPr>
      <w:r w:rsidRPr="0048761D">
        <w:rPr>
          <w:rFonts w:cstheme="minorHAnsi"/>
          <w:b/>
          <w:bCs/>
        </w:rPr>
        <w:t>Supporting figures</w:t>
      </w:r>
    </w:p>
    <w:p w14:paraId="76C055CE" w14:textId="77777777" w:rsidR="0048761D" w:rsidRDefault="0048761D" w:rsidP="0048761D">
      <w:r>
        <w:rPr>
          <w:noProof/>
        </w:rPr>
        <w:drawing>
          <wp:inline distT="0" distB="0" distL="0" distR="0" wp14:anchorId="2252432D" wp14:editId="48E7CB72">
            <wp:extent cx="5943600" cy="3029585"/>
            <wp:effectExtent l="0" t="0" r="0" b="0"/>
            <wp:docPr id="13" name="Picture 13"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Chart, box and whisker chart&#10;&#10;Description automatically generated"/>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3600" cy="3029585"/>
                    </a:xfrm>
                    <a:prstGeom prst="rect">
                      <a:avLst/>
                    </a:prstGeom>
                    <a:noFill/>
                    <a:ln>
                      <a:noFill/>
                    </a:ln>
                  </pic:spPr>
                </pic:pic>
              </a:graphicData>
            </a:graphic>
          </wp:inline>
        </w:drawing>
      </w:r>
    </w:p>
    <w:p w14:paraId="4BA8B5C6" w14:textId="77777777" w:rsidR="0048761D" w:rsidRDefault="0048761D" w:rsidP="0048761D">
      <w:r>
        <w:t>Supporting Fig. 1 – Comparison of different barometers as in Fig. 1a in the main text, but for 7 kbar experiments from Blatter et al. (2013)</w:t>
      </w:r>
    </w:p>
    <w:p w14:paraId="392C6235" w14:textId="77777777" w:rsidR="0048761D" w:rsidRDefault="0048761D" w:rsidP="0048761D">
      <w:pPr>
        <w:pStyle w:val="ListParagraph"/>
        <w:spacing w:line="480" w:lineRule="auto"/>
        <w:rPr>
          <w:rFonts w:cstheme="minorHAnsi"/>
        </w:rPr>
      </w:pPr>
    </w:p>
    <w:p w14:paraId="1BB26638" w14:textId="77777777" w:rsidR="0041403B" w:rsidRPr="0041403B" w:rsidRDefault="0041403B" w:rsidP="0041403B">
      <w:pPr>
        <w:spacing w:line="480" w:lineRule="auto"/>
        <w:rPr>
          <w:rFonts w:cstheme="minorHAnsi"/>
        </w:rPr>
      </w:pPr>
    </w:p>
    <w:p w14:paraId="2F985D53" w14:textId="0341014E" w:rsidR="00F1748D" w:rsidRDefault="00F1748D" w:rsidP="00F1748D"/>
    <w:p w14:paraId="5599D0C5" w14:textId="77777777" w:rsidR="0041403B" w:rsidRDefault="0041403B" w:rsidP="00DE3D4B"/>
    <w:p w14:paraId="0FC67284" w14:textId="5A7BC196" w:rsidR="00DE3D4B" w:rsidRDefault="00C947FF" w:rsidP="00DE3D4B">
      <w:r>
        <w:rPr>
          <w:noProof/>
        </w:rPr>
        <w:lastRenderedPageBreak/>
        <w:drawing>
          <wp:inline distT="0" distB="0" distL="0" distR="0" wp14:anchorId="28A8238E" wp14:editId="3FF803B1">
            <wp:extent cx="5943600" cy="2974340"/>
            <wp:effectExtent l="0" t="0" r="0" b="0"/>
            <wp:docPr id="3" name="Picture 3"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hart, scatter chart&#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43600" cy="2974340"/>
                    </a:xfrm>
                    <a:prstGeom prst="rect">
                      <a:avLst/>
                    </a:prstGeom>
                    <a:noFill/>
                    <a:ln>
                      <a:noFill/>
                    </a:ln>
                  </pic:spPr>
                </pic:pic>
              </a:graphicData>
            </a:graphic>
          </wp:inline>
        </w:drawing>
      </w:r>
    </w:p>
    <w:p w14:paraId="13C86ACD" w14:textId="64C438D1" w:rsidR="003733DD" w:rsidRDefault="003733DD" w:rsidP="00DE3D4B">
      <w:r>
        <w:t xml:space="preserve">Supporting Fig. </w:t>
      </w:r>
      <w:r w:rsidR="00CF0A41">
        <w:t>2</w:t>
      </w:r>
      <w:r>
        <w:t>. Comparison of predicted and measured K</w:t>
      </w:r>
      <w:r w:rsidR="00EA6649" w:rsidRPr="00EA6649">
        <w:rPr>
          <w:vertAlign w:val="subscript"/>
        </w:rPr>
        <w:t>D</w:t>
      </w:r>
      <w:r>
        <w:t xml:space="preserve"> using Wood and Blundy (1997). There is a clear offset between the measured and predicted</w:t>
      </w:r>
      <w:r w:rsidR="00EA6649">
        <w:t xml:space="preserve"> K</w:t>
      </w:r>
      <w:r w:rsidR="00EA6649" w:rsidRPr="00EA6649">
        <w:rPr>
          <w:vertAlign w:val="subscript"/>
        </w:rPr>
        <w:t>D</w:t>
      </w:r>
      <w:r>
        <w:t xml:space="preserve"> value, and the Mg# of the Cpx, with the equation performing </w:t>
      </w:r>
      <w:r w:rsidR="00EA6649">
        <w:t>very poorly</w:t>
      </w:r>
      <w:r>
        <w:t xml:space="preserve"> for low Mg# Cpx.</w:t>
      </w:r>
    </w:p>
    <w:p w14:paraId="5B517C1A" w14:textId="77777777" w:rsidR="0048761D" w:rsidRPr="0041403B" w:rsidRDefault="0048761D" w:rsidP="0048761D">
      <w:pPr>
        <w:spacing w:line="480" w:lineRule="auto"/>
        <w:ind w:left="360"/>
        <w:rPr>
          <w:rFonts w:cstheme="minorHAnsi"/>
        </w:rPr>
      </w:pPr>
      <w:r>
        <w:rPr>
          <w:noProof/>
        </w:rPr>
        <w:drawing>
          <wp:inline distT="0" distB="0" distL="0" distR="0" wp14:anchorId="5023D21E" wp14:editId="09409E65">
            <wp:extent cx="5943600" cy="7429500"/>
            <wp:effectExtent l="0" t="0" r="0" b="0"/>
            <wp:docPr id="4" name="Picture 4"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Chart, scatter chart&#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3600" cy="7429500"/>
                    </a:xfrm>
                    <a:prstGeom prst="rect">
                      <a:avLst/>
                    </a:prstGeom>
                    <a:noFill/>
                    <a:ln>
                      <a:noFill/>
                    </a:ln>
                  </pic:spPr>
                </pic:pic>
              </a:graphicData>
            </a:graphic>
          </wp:inline>
        </w:drawing>
      </w:r>
    </w:p>
    <w:p w14:paraId="6012E68E" w14:textId="47EB33C0" w:rsidR="0048761D" w:rsidRDefault="0048761D" w:rsidP="0048761D">
      <w:pPr>
        <w:ind w:left="360"/>
      </w:pPr>
      <w:r w:rsidRPr="0048761D">
        <w:rPr>
          <w:color w:val="000000" w:themeColor="text1"/>
        </w:rPr>
        <w:t xml:space="preserve">Supporting Fig. 3 – </w:t>
      </w:r>
      <w:r>
        <w:t>Filters applied to dataset (cut off value indicated with a dashed line). The H</w:t>
      </w:r>
      <w:r w:rsidRPr="0041403B">
        <w:rPr>
          <w:vertAlign w:val="subscript"/>
        </w:rPr>
        <w:t>2</w:t>
      </w:r>
      <w:r>
        <w:t>O filter removes all experiments conducted at atmospheric pressure (none of which have reported water contents).</w:t>
      </w:r>
    </w:p>
    <w:p w14:paraId="6CFA59BC" w14:textId="77777777" w:rsidR="0048761D" w:rsidRDefault="0048761D" w:rsidP="00DE3D4B"/>
    <w:p w14:paraId="1E966627" w14:textId="5D4ED3B6" w:rsidR="00663732" w:rsidRDefault="00E460C0" w:rsidP="00DE3D4B">
      <w:r>
        <w:rPr>
          <w:noProof/>
        </w:rPr>
        <w:drawing>
          <wp:inline distT="0" distB="0" distL="0" distR="0" wp14:anchorId="45FF14EB" wp14:editId="7D5F69F7">
            <wp:extent cx="5943600" cy="2971800"/>
            <wp:effectExtent l="0" t="0" r="0" b="0"/>
            <wp:docPr id="7" name="Picture 7"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Chart, scatter chart&#10;&#10;Description automatically generated"/>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43600" cy="2971800"/>
                    </a:xfrm>
                    <a:prstGeom prst="rect">
                      <a:avLst/>
                    </a:prstGeom>
                    <a:noFill/>
                    <a:ln>
                      <a:noFill/>
                    </a:ln>
                  </pic:spPr>
                </pic:pic>
              </a:graphicData>
            </a:graphic>
          </wp:inline>
        </w:drawing>
      </w:r>
    </w:p>
    <w:p w14:paraId="33F89B60" w14:textId="726EA8FE" w:rsidR="00663732" w:rsidRDefault="00663732" w:rsidP="00DE3D4B">
      <w:r>
        <w:t xml:space="preserve">Supporting Fig. </w:t>
      </w:r>
      <w:r w:rsidR="00044CDB">
        <w:t>4</w:t>
      </w:r>
      <w:r>
        <w:t xml:space="preserve"> – </w:t>
      </w:r>
      <w:r w:rsidR="00F24485">
        <w:t xml:space="preserve">a) </w:t>
      </w:r>
      <w:r>
        <w:t xml:space="preserve">The discrepancy between calculated and experimental temperature iterating </w:t>
      </w:r>
      <w:r w:rsidR="00257EB9">
        <w:t xml:space="preserve">the thermometer and barometer of </w:t>
      </w:r>
      <w:r>
        <w:t>Putirka et al. (2003) increases with increasing H</w:t>
      </w:r>
      <w:r w:rsidRPr="00663732">
        <w:rPr>
          <w:vertAlign w:val="subscript"/>
        </w:rPr>
        <w:t>2</w:t>
      </w:r>
      <w:r>
        <w:t>O content in the liquid. This is not surprising, given this equation has no term for H</w:t>
      </w:r>
      <w:r w:rsidRPr="00663732">
        <w:rPr>
          <w:vertAlign w:val="subscript"/>
        </w:rPr>
        <w:t>2</w:t>
      </w:r>
      <w:r>
        <w:t xml:space="preserve">O, but is concerning given this equation is still used for arc magmas (see Table 1 in the main text). </w:t>
      </w:r>
      <w:r w:rsidR="00F24485">
        <w:t>b)</w:t>
      </w:r>
      <w:r w:rsidR="00257EB9">
        <w:t xml:space="preserve"> The Cpx-Liq thermometer of</w:t>
      </w:r>
      <w:r w:rsidR="00F24485">
        <w:t xml:space="preserve"> Jorgenson et al. (2022) also doesn’t contain a H</w:t>
      </w:r>
      <w:r w:rsidR="00F24485" w:rsidRPr="00663732">
        <w:rPr>
          <w:vertAlign w:val="subscript"/>
        </w:rPr>
        <w:t>2</w:t>
      </w:r>
      <w:r w:rsidR="00F24485">
        <w:t>O term. However, the discrepancy between experimental and calculated temperature shows a much less strong correlation with water content</w:t>
      </w:r>
      <w:r w:rsidR="00257EB9">
        <w:t xml:space="preserve"> (lower R</w:t>
      </w:r>
      <w:r w:rsidR="00257EB9" w:rsidRPr="00257EB9">
        <w:rPr>
          <w:vertAlign w:val="superscript"/>
        </w:rPr>
        <w:t>2</w:t>
      </w:r>
      <w:r w:rsidR="00257EB9">
        <w:t xml:space="preserve">, less negative gradient). </w:t>
      </w:r>
      <w:r w:rsidR="00F24485">
        <w:t xml:space="preserve"> </w:t>
      </w:r>
    </w:p>
    <w:p w14:paraId="6292C625" w14:textId="5CD4E91A" w:rsidR="00350CCA" w:rsidRDefault="00044CDB" w:rsidP="00350CCA">
      <w:r>
        <w:rPr>
          <w:noProof/>
        </w:rPr>
        <w:drawing>
          <wp:inline distT="0" distB="0" distL="0" distR="0" wp14:anchorId="5E511B46" wp14:editId="2CC760A8">
            <wp:extent cx="5943600" cy="5523865"/>
            <wp:effectExtent l="0" t="0" r="0" b="635"/>
            <wp:docPr id="28" name="Picture 28"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descr="Chart, scatter chart&#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943600" cy="5523865"/>
                    </a:xfrm>
                    <a:prstGeom prst="rect">
                      <a:avLst/>
                    </a:prstGeom>
                    <a:noFill/>
                    <a:ln>
                      <a:noFill/>
                    </a:ln>
                  </pic:spPr>
                </pic:pic>
              </a:graphicData>
            </a:graphic>
          </wp:inline>
        </w:drawing>
      </w:r>
    </w:p>
    <w:p w14:paraId="33C8638A" w14:textId="61E0C67E" w:rsidR="00350CCA" w:rsidRDefault="00350CCA" w:rsidP="00350CCA">
      <w:r>
        <w:t xml:space="preserve">Supporting Fig </w:t>
      </w:r>
      <w:r w:rsidR="00044CDB">
        <w:t>5</w:t>
      </w:r>
      <w:r>
        <w:t xml:space="preserve"> – Comparison of statistics using Median and mean tree for Cpx-Liq thermobarometry for Jorgenson et al. (2022). </w:t>
      </w:r>
    </w:p>
    <w:p w14:paraId="510B4F71" w14:textId="3C501FA5" w:rsidR="00410F89" w:rsidRDefault="00044CDB" w:rsidP="00410F89">
      <w:r>
        <w:rPr>
          <w:noProof/>
        </w:rPr>
        <w:drawing>
          <wp:inline distT="0" distB="0" distL="0" distR="0" wp14:anchorId="6225799E" wp14:editId="388739B6">
            <wp:extent cx="5943600" cy="5523865"/>
            <wp:effectExtent l="0" t="0" r="0" b="635"/>
            <wp:docPr id="29" name="Picture 29"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descr="Chart, scatter chart&#10;&#10;Description automatically generated"/>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943600" cy="5523865"/>
                    </a:xfrm>
                    <a:prstGeom prst="rect">
                      <a:avLst/>
                    </a:prstGeom>
                    <a:noFill/>
                    <a:ln>
                      <a:noFill/>
                    </a:ln>
                  </pic:spPr>
                </pic:pic>
              </a:graphicData>
            </a:graphic>
          </wp:inline>
        </w:drawing>
      </w:r>
    </w:p>
    <w:p w14:paraId="39F37299" w14:textId="128721A6" w:rsidR="00410F89" w:rsidRDefault="00410F89" w:rsidP="00410F89">
      <w:r>
        <w:t xml:space="preserve">Supporting Fig. </w:t>
      </w:r>
      <w:r w:rsidR="00044CDB">
        <w:t>6</w:t>
      </w:r>
      <w:r>
        <w:t>– Comparison of statistics using Median and mean tree for Cpx-Liq thermobarometry for Petrelli et al. (2020).</w:t>
      </w:r>
    </w:p>
    <w:p w14:paraId="24F75BFF" w14:textId="19942784" w:rsidR="00CD1D3D" w:rsidRDefault="0052647D" w:rsidP="00410F89">
      <w:r>
        <w:rPr>
          <w:noProof/>
        </w:rPr>
        <w:drawing>
          <wp:inline distT="0" distB="0" distL="0" distR="0" wp14:anchorId="7904C733" wp14:editId="4F5FCB23">
            <wp:extent cx="5943600" cy="5094605"/>
            <wp:effectExtent l="0" t="0" r="0" b="0"/>
            <wp:docPr id="32" name="Picture 32" descr="Chart, diagram,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2" descr="Chart, diagram, scatter chart&#10;&#10;Description automatically generated"/>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943600" cy="5094605"/>
                    </a:xfrm>
                    <a:prstGeom prst="rect">
                      <a:avLst/>
                    </a:prstGeom>
                    <a:noFill/>
                    <a:ln>
                      <a:noFill/>
                    </a:ln>
                  </pic:spPr>
                </pic:pic>
              </a:graphicData>
            </a:graphic>
          </wp:inline>
        </w:drawing>
      </w:r>
    </w:p>
    <w:p w14:paraId="175DC06E" w14:textId="7F9095CB" w:rsidR="00CD1D3D" w:rsidRPr="00CD1D3D" w:rsidRDefault="00CD1D3D" w:rsidP="00410F89">
      <w:pPr>
        <w:rPr>
          <w:color w:val="FF0000"/>
        </w:rPr>
      </w:pPr>
      <w:r w:rsidRPr="005E6BAD">
        <w:rPr>
          <w:color w:val="000000" w:themeColor="text1"/>
        </w:rPr>
        <w:t xml:space="preserve">Supporting Fig. </w:t>
      </w:r>
      <w:r w:rsidR="005E6BAD" w:rsidRPr="005E6BAD">
        <w:rPr>
          <w:color w:val="000000" w:themeColor="text1"/>
        </w:rPr>
        <w:t>7</w:t>
      </w:r>
      <w:r w:rsidRPr="005E6BAD">
        <w:rPr>
          <w:color w:val="000000" w:themeColor="text1"/>
        </w:rPr>
        <w:t xml:space="preserve">– Discrepancy </w:t>
      </w:r>
      <w:r>
        <w:t xml:space="preserve">of calculated Cpx-Liq P and T vs. the </w:t>
      </w:r>
      <w:r w:rsidR="002242AA">
        <w:t>IQR of each regression tree. Jorgenson et al. suggest removing results with an IQR more than twice the stated SEE on the thermobarometer (</w:t>
      </w:r>
      <w:proofErr w:type="gramStart"/>
      <w:r w:rsidR="002242AA">
        <w:t>e.g.</w:t>
      </w:r>
      <w:proofErr w:type="gramEnd"/>
      <w:r w:rsidR="002242AA">
        <w:t xml:space="preserve"> to the right of the red dashed line). There is no clear correlation between the IQR and the absolute offset between calculated </w:t>
      </w:r>
      <w:r w:rsidR="000562FA">
        <w:t xml:space="preserve">and experimental pressures and temperatures. We note that Petrelli don’t release a Cpx-only barometer, we calibrate one using their dataset and the same regression tree mechanism used for P. </w:t>
      </w:r>
      <w:r>
        <w:t xml:space="preserve"> </w:t>
      </w:r>
    </w:p>
    <w:p w14:paraId="2BA3EB2C" w14:textId="77777777" w:rsidR="004006A7" w:rsidRDefault="004006A7" w:rsidP="00350CCA"/>
    <w:p w14:paraId="6CE110AD" w14:textId="779C1904" w:rsidR="00350CCA" w:rsidRDefault="00AF5F9E" w:rsidP="00350CCA">
      <w:r>
        <w:rPr>
          <w:noProof/>
        </w:rPr>
        <w:drawing>
          <wp:inline distT="0" distB="0" distL="0" distR="0" wp14:anchorId="6B8788D5" wp14:editId="27BF7945">
            <wp:extent cx="5848350" cy="4391025"/>
            <wp:effectExtent l="0" t="0" r="0" b="9525"/>
            <wp:docPr id="11" name="Picture 11"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Chart&#10;&#10;Description automatically generated"/>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848350" cy="4391025"/>
                    </a:xfrm>
                    <a:prstGeom prst="rect">
                      <a:avLst/>
                    </a:prstGeom>
                    <a:noFill/>
                    <a:ln>
                      <a:noFill/>
                    </a:ln>
                  </pic:spPr>
                </pic:pic>
              </a:graphicData>
            </a:graphic>
          </wp:inline>
        </w:drawing>
      </w:r>
    </w:p>
    <w:p w14:paraId="3C399509" w14:textId="7EE326A3" w:rsidR="00350CCA" w:rsidRDefault="00350CCA" w:rsidP="00DE3D4B">
      <w:r>
        <w:t xml:space="preserve">Supporting Fig </w:t>
      </w:r>
      <w:r w:rsidR="005E6BAD">
        <w:t>8</w:t>
      </w:r>
      <w:r>
        <w:t xml:space="preserve"> – Assessing the influence of the Cpx composition on the Cpx-Liq temperature. For each experimental Cpx-Liq pair we calculate the temperature using equation 33 of Putirka (2008), and plot this on the x axis. We then consider all possible Cpx-Liq matches, so each liquid gets matched to all N=194 Cpx compositions. We calculate the temperature for each of these pairs, resulting in N=194 dots sitting above each x axis coordinate. The y scatter is relatively small, the offset in calculated temperature for changing the Cpx composition is comparable to the quoted RMSE on the thermometer (shown by red dashed lines about the 1:1 red solid line). We use the average experimental pressure of the entire experimental database for all calculations. </w:t>
      </w:r>
    </w:p>
    <w:p w14:paraId="39879142" w14:textId="20DC55FD" w:rsidR="00DE3D4B" w:rsidRDefault="00DE3D4B" w:rsidP="00DE3D4B"/>
    <w:p w14:paraId="3FDB898D" w14:textId="55325F9C" w:rsidR="00DE3D4B" w:rsidRDefault="00AF5F9E" w:rsidP="00DE3D4B">
      <w:r>
        <w:rPr>
          <w:noProof/>
        </w:rPr>
        <w:drawing>
          <wp:inline distT="0" distB="0" distL="0" distR="0" wp14:anchorId="52551948" wp14:editId="07C53745">
            <wp:extent cx="5943600" cy="2377440"/>
            <wp:effectExtent l="0" t="0" r="0" b="3810"/>
            <wp:docPr id="12" name="Picture 12"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Chart, scatter chart&#10;&#10;Description automatically generated"/>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943600" cy="2377440"/>
                    </a:xfrm>
                    <a:prstGeom prst="rect">
                      <a:avLst/>
                    </a:prstGeom>
                    <a:noFill/>
                    <a:ln>
                      <a:noFill/>
                    </a:ln>
                  </pic:spPr>
                </pic:pic>
              </a:graphicData>
            </a:graphic>
          </wp:inline>
        </w:drawing>
      </w:r>
    </w:p>
    <w:p w14:paraId="6FF0A594" w14:textId="326CF3A7" w:rsidR="001A76FE" w:rsidRDefault="001A76FE" w:rsidP="00DE3D4B">
      <w:r>
        <w:t xml:space="preserve">Supporting Fig. </w:t>
      </w:r>
      <w:r w:rsidR="005E6BAD">
        <w:t>9</w:t>
      </w:r>
      <w:r>
        <w:t xml:space="preserve"> – Comparing calculated and experimental pressures for the </w:t>
      </w:r>
      <w:r w:rsidR="00257EB9">
        <w:t>two</w:t>
      </w:r>
      <w:r>
        <w:t xml:space="preserve"> ways Eq32c is used in the P2008 spreadsheets</w:t>
      </w:r>
      <w:r w:rsidR="00257EB9">
        <w:t xml:space="preserve"> (the first cell vs later cells). We do not know for any given study how they dragged the cells down. </w:t>
      </w:r>
    </w:p>
    <w:p w14:paraId="1415B6DE" w14:textId="1E2C3446" w:rsidR="006E17BB" w:rsidRDefault="007055DC" w:rsidP="00DE3D4B">
      <w:r>
        <w:rPr>
          <w:noProof/>
        </w:rPr>
        <w:drawing>
          <wp:inline distT="0" distB="0" distL="0" distR="0" wp14:anchorId="2620D438" wp14:editId="309C392D">
            <wp:extent cx="5943600" cy="5094605"/>
            <wp:effectExtent l="0" t="0" r="0" b="0"/>
            <wp:docPr id="21" name="Picture 21"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descr="Chart, scatter chart&#10;&#10;Description automatically generated"/>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943600" cy="5094605"/>
                    </a:xfrm>
                    <a:prstGeom prst="rect">
                      <a:avLst/>
                    </a:prstGeom>
                    <a:noFill/>
                    <a:ln>
                      <a:noFill/>
                    </a:ln>
                  </pic:spPr>
                </pic:pic>
              </a:graphicData>
            </a:graphic>
          </wp:inline>
        </w:drawing>
      </w:r>
    </w:p>
    <w:p w14:paraId="34A4AA79" w14:textId="567920F0" w:rsidR="00410F89" w:rsidRDefault="00410F89" w:rsidP="00410F89">
      <w:r>
        <w:t xml:space="preserve">Supporting Fig </w:t>
      </w:r>
      <w:r w:rsidR="005E6BAD">
        <w:t>10</w:t>
      </w:r>
      <w:r>
        <w:t xml:space="preserve"> – Discrepancy between Cpx-only temperatures and melt water contents. Only the thermometer of Wang et al. (2021) has a term for H</w:t>
      </w:r>
      <w:r w:rsidRPr="00257EB9">
        <w:rPr>
          <w:vertAlign w:val="subscript"/>
        </w:rPr>
        <w:t>2</w:t>
      </w:r>
      <w:r>
        <w:t xml:space="preserve">O content in the liquid. </w:t>
      </w:r>
    </w:p>
    <w:p w14:paraId="14B469CE" w14:textId="77777777" w:rsidR="00410F89" w:rsidRDefault="00410F89" w:rsidP="00DE3D4B"/>
    <w:p w14:paraId="1DB39D50" w14:textId="7591F858" w:rsidR="00410F89" w:rsidRDefault="00044CDB" w:rsidP="00410F89">
      <w:r>
        <w:rPr>
          <w:noProof/>
        </w:rPr>
        <w:drawing>
          <wp:inline distT="0" distB="0" distL="0" distR="0" wp14:anchorId="35B819F6" wp14:editId="67BF1805">
            <wp:extent cx="5943600" cy="5523865"/>
            <wp:effectExtent l="0" t="0" r="0" b="635"/>
            <wp:docPr id="30" name="Picture 30"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30" descr="Chart, scatter chart&#10;&#10;Description automatically generated"/>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943600" cy="5523865"/>
                    </a:xfrm>
                    <a:prstGeom prst="rect">
                      <a:avLst/>
                    </a:prstGeom>
                    <a:noFill/>
                    <a:ln>
                      <a:noFill/>
                    </a:ln>
                  </pic:spPr>
                </pic:pic>
              </a:graphicData>
            </a:graphic>
          </wp:inline>
        </w:drawing>
      </w:r>
    </w:p>
    <w:p w14:paraId="0EA6CB4D" w14:textId="4F09D265" w:rsidR="00410F89" w:rsidRDefault="00410F89" w:rsidP="00410F89">
      <w:r>
        <w:t xml:space="preserve">Supporting Fig </w:t>
      </w:r>
      <w:r w:rsidR="005E6BAD">
        <w:t>11</w:t>
      </w:r>
      <w:r>
        <w:t xml:space="preserve"> – Comparison of statistics using Median and mean tree for Cpx-only thermobarometry for Jorgenson et al. (2022). </w:t>
      </w:r>
    </w:p>
    <w:p w14:paraId="3B7F4CD7" w14:textId="42B32A49" w:rsidR="00410F89" w:rsidRDefault="00410F89" w:rsidP="00DE3D4B"/>
    <w:p w14:paraId="72FEF2E5" w14:textId="2E83EA09" w:rsidR="00410F89" w:rsidRDefault="00044CDB" w:rsidP="00410F89">
      <w:r>
        <w:rPr>
          <w:noProof/>
        </w:rPr>
        <w:drawing>
          <wp:inline distT="0" distB="0" distL="0" distR="0" wp14:anchorId="23BE79E9" wp14:editId="5CA4F41B">
            <wp:extent cx="5943600" cy="5523865"/>
            <wp:effectExtent l="0" t="0" r="0" b="635"/>
            <wp:docPr id="31" name="Picture 31"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31" descr="Chart, scatter chart&#10;&#10;Description automatically generated"/>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943600" cy="5523865"/>
                    </a:xfrm>
                    <a:prstGeom prst="rect">
                      <a:avLst/>
                    </a:prstGeom>
                    <a:noFill/>
                    <a:ln>
                      <a:noFill/>
                    </a:ln>
                  </pic:spPr>
                </pic:pic>
              </a:graphicData>
            </a:graphic>
          </wp:inline>
        </w:drawing>
      </w:r>
    </w:p>
    <w:p w14:paraId="39B93EB1" w14:textId="544CBB29" w:rsidR="00410F89" w:rsidRDefault="00410F89" w:rsidP="00410F89">
      <w:r>
        <w:t>Supporting Fig. 1</w:t>
      </w:r>
      <w:r w:rsidR="005E6BAD">
        <w:t>2</w:t>
      </w:r>
      <w:r>
        <w:t xml:space="preserve"> – Comparison of statistics using Median and mean tree for Cpx-Liq</w:t>
      </w:r>
      <w:r w:rsidR="008A556C">
        <w:t xml:space="preserve"> and Cpx-only</w:t>
      </w:r>
      <w:r>
        <w:t xml:space="preserve"> thermobarometry for Petrelli et al. (2020).</w:t>
      </w:r>
      <w:r w:rsidR="008A556C">
        <w:t xml:space="preserve"> No Cpx-only thermometer was officially published, we use the same regression strategy as for pressure to yield temperature. </w:t>
      </w:r>
    </w:p>
    <w:p w14:paraId="6E69FC3F" w14:textId="77777777" w:rsidR="00410F89" w:rsidRDefault="00410F89" w:rsidP="00DE3D4B"/>
    <w:p w14:paraId="3B9CC8E5" w14:textId="77777777" w:rsidR="00410F89" w:rsidRDefault="00410F89" w:rsidP="00DE3D4B"/>
    <w:p w14:paraId="38E31EB2" w14:textId="42F836B7" w:rsidR="0094157C" w:rsidRDefault="0048761D" w:rsidP="0048761D">
      <w:pPr>
        <w:jc w:val="center"/>
      </w:pPr>
      <w:r>
        <w:rPr>
          <w:noProof/>
        </w:rPr>
        <w:drawing>
          <wp:inline distT="0" distB="0" distL="0" distR="0" wp14:anchorId="1A78C1F0" wp14:editId="103B4259">
            <wp:extent cx="3195320" cy="2642870"/>
            <wp:effectExtent l="0" t="0" r="5080" b="5080"/>
            <wp:docPr id="24" name="Picture 24"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descr="Chart, scatter chart&#10;&#10;Description automatically generated"/>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195320" cy="2642870"/>
                    </a:xfrm>
                    <a:prstGeom prst="rect">
                      <a:avLst/>
                    </a:prstGeom>
                    <a:noFill/>
                    <a:ln>
                      <a:noFill/>
                    </a:ln>
                  </pic:spPr>
                </pic:pic>
              </a:graphicData>
            </a:graphic>
          </wp:inline>
        </w:drawing>
      </w:r>
    </w:p>
    <w:p w14:paraId="0208F18B" w14:textId="1D6D36E6" w:rsidR="008A556C" w:rsidRDefault="008A556C" w:rsidP="0048761D">
      <w:pPr>
        <w:jc w:val="center"/>
      </w:pPr>
      <w:r>
        <w:rPr>
          <w:noProof/>
        </w:rPr>
        <w:drawing>
          <wp:inline distT="0" distB="0" distL="0" distR="0" wp14:anchorId="771C16BE" wp14:editId="43E403A9">
            <wp:extent cx="3127375" cy="2623820"/>
            <wp:effectExtent l="0" t="0" r="0" b="5080"/>
            <wp:docPr id="10" name="Picture 10"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Chart, scatter chart&#10;&#10;Description automatically generated"/>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127375" cy="2623820"/>
                    </a:xfrm>
                    <a:prstGeom prst="rect">
                      <a:avLst/>
                    </a:prstGeom>
                    <a:noFill/>
                    <a:ln>
                      <a:noFill/>
                    </a:ln>
                  </pic:spPr>
                </pic:pic>
              </a:graphicData>
            </a:graphic>
          </wp:inline>
        </w:drawing>
      </w:r>
    </w:p>
    <w:p w14:paraId="39846EF7" w14:textId="01DFDA7E" w:rsidR="0094157C" w:rsidRDefault="0094157C" w:rsidP="0094157C">
      <w:r>
        <w:t xml:space="preserve">Supporting Fig </w:t>
      </w:r>
      <w:r w:rsidR="00410F89">
        <w:t>1</w:t>
      </w:r>
      <w:r w:rsidR="005E6BAD">
        <w:t>3</w:t>
      </w:r>
      <w:r>
        <w:t xml:space="preserve"> – </w:t>
      </w:r>
      <w:r w:rsidR="00D07086">
        <w:t>Discrepancy</w:t>
      </w:r>
      <w:r>
        <w:t xml:space="preserve"> between experimental and calculated Cpx-only temperatures using Wang et al. (2021) correlates strongly with SiO</w:t>
      </w:r>
      <w:r w:rsidRPr="00A369B1">
        <w:rPr>
          <w:vertAlign w:val="subscript"/>
        </w:rPr>
        <w:t>2</w:t>
      </w:r>
      <w:r>
        <w:t xml:space="preserve"> </w:t>
      </w:r>
      <w:r w:rsidR="00A369B1">
        <w:t xml:space="preserve">when applied to Cpx grown from liquids which are more evolved than the calibration range of the model (shown by the grey histogram). </w:t>
      </w:r>
      <w:r>
        <w:t>Using only experiments with &lt;60 wt% SiO2 results in a far better statistics than shown in the main text</w:t>
      </w:r>
      <w:r w:rsidR="008A556C">
        <w:t>.</w:t>
      </w:r>
    </w:p>
    <w:p w14:paraId="3B012D1E" w14:textId="77777777" w:rsidR="0094157C" w:rsidRDefault="0094157C" w:rsidP="00DE3D4B"/>
    <w:p w14:paraId="57D9DE24" w14:textId="7EB05432" w:rsidR="00691455" w:rsidRDefault="00691455" w:rsidP="00DE3D4B"/>
    <w:p w14:paraId="4DC24CF6" w14:textId="7366B8A6" w:rsidR="00DC4EAF" w:rsidRDefault="0052647D" w:rsidP="00DC4EAF">
      <w:r>
        <w:rPr>
          <w:noProof/>
        </w:rPr>
        <w:drawing>
          <wp:inline distT="0" distB="0" distL="0" distR="0" wp14:anchorId="67ABE982" wp14:editId="00897B16">
            <wp:extent cx="5943600" cy="5094605"/>
            <wp:effectExtent l="0" t="0" r="0" b="0"/>
            <wp:docPr id="33" name="Picture 33"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Picture 33" descr="Chart, scatter chart&#10;&#10;Description automatically generated"/>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943600" cy="5094605"/>
                    </a:xfrm>
                    <a:prstGeom prst="rect">
                      <a:avLst/>
                    </a:prstGeom>
                    <a:noFill/>
                    <a:ln>
                      <a:noFill/>
                    </a:ln>
                  </pic:spPr>
                </pic:pic>
              </a:graphicData>
            </a:graphic>
          </wp:inline>
        </w:drawing>
      </w:r>
    </w:p>
    <w:p w14:paraId="4D9AFBFF" w14:textId="5B25155C" w:rsidR="00DC4EAF" w:rsidRDefault="00DC4EAF" w:rsidP="00DE3D4B">
      <w:r>
        <w:t xml:space="preserve">Supporting Fig. </w:t>
      </w:r>
      <w:r w:rsidR="00A369B1">
        <w:t>1</w:t>
      </w:r>
      <w:r w:rsidR="005E6BAD">
        <w:t>4</w:t>
      </w:r>
      <w:r>
        <w:t xml:space="preserve"> – </w:t>
      </w:r>
      <w:r w:rsidR="000562FA">
        <w:t>Discrepancy of calculated Cpx-only P and T vs. the IQR of each regression tree. Jorgenson et al. suggest removing results with an IQR more than twice the stated SEE on the thermobarometer (</w:t>
      </w:r>
      <w:proofErr w:type="gramStart"/>
      <w:r w:rsidR="000562FA">
        <w:t>e.g.</w:t>
      </w:r>
      <w:proofErr w:type="gramEnd"/>
      <w:r w:rsidR="000562FA">
        <w:t xml:space="preserve"> to the right of the red dashed line). There is no clear correlation between the IQR and the absolute offset between calculated and experimental pressures and temperatures. We note that Petrelli don’t release a Cpx-only barometer, we calibrate one using their dataset and the same regression tree mechanism used for P.  </w:t>
      </w:r>
    </w:p>
    <w:p w14:paraId="30B7DABF" w14:textId="77777777" w:rsidR="00410F89" w:rsidRDefault="00410F89" w:rsidP="00DE3D4B"/>
    <w:p w14:paraId="58CD756D" w14:textId="4A15A4A3" w:rsidR="00243CAE" w:rsidRDefault="00896A2D" w:rsidP="00DE3D4B">
      <w:r>
        <w:rPr>
          <w:noProof/>
        </w:rPr>
        <w:drawing>
          <wp:inline distT="0" distB="0" distL="0" distR="0" wp14:anchorId="56F339EB" wp14:editId="7742A44F">
            <wp:extent cx="5943600" cy="5780405"/>
            <wp:effectExtent l="0" t="0" r="0" b="0"/>
            <wp:docPr id="9" name="Picture 9"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Chart, scatter chart&#10;&#10;Description automatically generated"/>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943600" cy="5780405"/>
                    </a:xfrm>
                    <a:prstGeom prst="rect">
                      <a:avLst/>
                    </a:prstGeom>
                    <a:noFill/>
                    <a:ln>
                      <a:noFill/>
                    </a:ln>
                  </pic:spPr>
                </pic:pic>
              </a:graphicData>
            </a:graphic>
          </wp:inline>
        </w:drawing>
      </w:r>
    </w:p>
    <w:p w14:paraId="52B10793" w14:textId="6E12AC0C" w:rsidR="00896A2D" w:rsidRDefault="00896A2D" w:rsidP="00DE3D4B">
      <w:r>
        <w:t xml:space="preserve">Supporting Fig. 15 – As for Fig 15 in the main </w:t>
      </w:r>
      <w:proofErr w:type="gramStart"/>
      <w:r>
        <w:t>text, but</w:t>
      </w:r>
      <w:proofErr w:type="gramEnd"/>
      <w:r>
        <w:t xml:space="preserve"> using bin averages even when there was only 1 experiment. </w:t>
      </w:r>
    </w:p>
    <w:sectPr w:rsidR="00896A2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E55887"/>
    <w:multiLevelType w:val="multilevel"/>
    <w:tmpl w:val="2678220C"/>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16cid:durableId="7382828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4"/>
  <w:proofState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08FE"/>
    <w:rsid w:val="000050A4"/>
    <w:rsid w:val="00044CDB"/>
    <w:rsid w:val="000562FA"/>
    <w:rsid w:val="000674D3"/>
    <w:rsid w:val="00086173"/>
    <w:rsid w:val="000D1DA3"/>
    <w:rsid w:val="000D6FFE"/>
    <w:rsid w:val="000F17D5"/>
    <w:rsid w:val="001A76FE"/>
    <w:rsid w:val="002166D5"/>
    <w:rsid w:val="002242AA"/>
    <w:rsid w:val="00243CAE"/>
    <w:rsid w:val="00257EB9"/>
    <w:rsid w:val="00260B11"/>
    <w:rsid w:val="00260BFE"/>
    <w:rsid w:val="002B005A"/>
    <w:rsid w:val="002B381E"/>
    <w:rsid w:val="00350CCA"/>
    <w:rsid w:val="003733DD"/>
    <w:rsid w:val="004006A7"/>
    <w:rsid w:val="00410F89"/>
    <w:rsid w:val="0041403B"/>
    <w:rsid w:val="00474838"/>
    <w:rsid w:val="0048761D"/>
    <w:rsid w:val="004F75E3"/>
    <w:rsid w:val="0052647D"/>
    <w:rsid w:val="00542DBD"/>
    <w:rsid w:val="005E6BAD"/>
    <w:rsid w:val="00655567"/>
    <w:rsid w:val="00663732"/>
    <w:rsid w:val="00691455"/>
    <w:rsid w:val="006E17BB"/>
    <w:rsid w:val="006F71BB"/>
    <w:rsid w:val="007055DC"/>
    <w:rsid w:val="008138DB"/>
    <w:rsid w:val="00896A2D"/>
    <w:rsid w:val="008A1966"/>
    <w:rsid w:val="008A556C"/>
    <w:rsid w:val="0090331C"/>
    <w:rsid w:val="0094157C"/>
    <w:rsid w:val="00941772"/>
    <w:rsid w:val="009C6594"/>
    <w:rsid w:val="009E0639"/>
    <w:rsid w:val="009F67AA"/>
    <w:rsid w:val="00A369B1"/>
    <w:rsid w:val="00A717E1"/>
    <w:rsid w:val="00A908FE"/>
    <w:rsid w:val="00AD0898"/>
    <w:rsid w:val="00AF5F9E"/>
    <w:rsid w:val="00B42EE1"/>
    <w:rsid w:val="00BD07EC"/>
    <w:rsid w:val="00C947FF"/>
    <w:rsid w:val="00CD1D3D"/>
    <w:rsid w:val="00CD7E96"/>
    <w:rsid w:val="00CF0A41"/>
    <w:rsid w:val="00D07086"/>
    <w:rsid w:val="00D7639D"/>
    <w:rsid w:val="00DC2EC6"/>
    <w:rsid w:val="00DC4EAF"/>
    <w:rsid w:val="00DE3D4B"/>
    <w:rsid w:val="00E460C0"/>
    <w:rsid w:val="00E6002C"/>
    <w:rsid w:val="00EA6649"/>
    <w:rsid w:val="00F1748D"/>
    <w:rsid w:val="00F24485"/>
    <w:rsid w:val="00F873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7CEF60"/>
  <w15:docId w15:val="{D55C483B-FD4D-4FE4-8695-999C835E70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06A7"/>
  </w:style>
  <w:style w:type="paragraph" w:styleId="Heading1">
    <w:name w:val="heading 1"/>
    <w:basedOn w:val="Normal"/>
    <w:next w:val="Normal"/>
    <w:link w:val="Heading1Char"/>
    <w:uiPriority w:val="9"/>
    <w:qFormat/>
    <w:rsid w:val="00DE3D4B"/>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E3D4B"/>
    <w:rPr>
      <w:rFonts w:asciiTheme="majorHAnsi" w:eastAsiaTheme="majorEastAsia" w:hAnsiTheme="majorHAnsi" w:cstheme="majorBidi"/>
      <w:color w:val="2F5496" w:themeColor="accent1" w:themeShade="BF"/>
      <w:sz w:val="32"/>
      <w:szCs w:val="32"/>
    </w:rPr>
  </w:style>
  <w:style w:type="paragraph" w:styleId="ListParagraph">
    <w:name w:val="List Paragraph"/>
    <w:basedOn w:val="Normal"/>
    <w:uiPriority w:val="34"/>
    <w:qFormat/>
    <w:rsid w:val="00EA6649"/>
    <w:pPr>
      <w:ind w:left="720"/>
      <w:contextualSpacing/>
    </w:pPr>
  </w:style>
  <w:style w:type="character" w:styleId="Hyperlink">
    <w:name w:val="Hyperlink"/>
    <w:basedOn w:val="DefaultParagraphFont"/>
    <w:uiPriority w:val="99"/>
    <w:unhideWhenUsed/>
    <w:rsid w:val="00EA664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3" Type="http://schemas.openxmlformats.org/officeDocument/2006/relationships/settings" Target="settings.xml"/><Relationship Id="rId21" Type="http://schemas.openxmlformats.org/officeDocument/2006/relationships/image" Target="media/image16.png"/><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 Type="http://schemas.openxmlformats.org/officeDocument/2006/relationships/styles" Target="styles.xml"/><Relationship Id="rId16" Type="http://schemas.openxmlformats.org/officeDocument/2006/relationships/image" Target="media/image11.png"/><Relationship Id="rId20" Type="http://schemas.openxmlformats.org/officeDocument/2006/relationships/image" Target="media/image15.png"/><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hyperlink" Target="mailto:Penny_wieser@berkeley.edu" TargetMode="External"/><Relationship Id="rId15" Type="http://schemas.openxmlformats.org/officeDocument/2006/relationships/image" Target="media/image10.png"/><Relationship Id="rId23" Type="http://schemas.openxmlformats.org/officeDocument/2006/relationships/theme" Target="theme/theme1.xml"/><Relationship Id="rId10" Type="http://schemas.openxmlformats.org/officeDocument/2006/relationships/image" Target="media/image5.png"/><Relationship Id="rId19" Type="http://schemas.openxmlformats.org/officeDocument/2006/relationships/image" Target="media/image14.png"/><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250</TotalTime>
  <Pages>15</Pages>
  <Words>777</Words>
  <Characters>4434</Characters>
  <Application>Microsoft Office Word</Application>
  <DocSecurity>0</DocSecurity>
  <Lines>36</Lines>
  <Paragraphs>10</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Supporting Information for “Barometers behaving badly II: A critical evaluation </vt:lpstr>
    </vt:vector>
  </TitlesOfParts>
  <Company/>
  <LinksUpToDate>false</LinksUpToDate>
  <CharactersWithSpaces>5201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Penny Wieser</dc:creator>
  <cp:keywords/>
  <dc:description/>
  <cp:lastModifiedBy>Penny Wieser</cp:lastModifiedBy>
  <cp:revision>16</cp:revision>
  <cp:lastPrinted>2022-12-12T19:12:00Z</cp:lastPrinted>
  <dcterms:created xsi:type="dcterms:W3CDTF">2023-04-10T22:51:00Z</dcterms:created>
  <dcterms:modified xsi:type="dcterms:W3CDTF">2023-04-23T16:51:00Z</dcterms:modified>
</cp:coreProperties>
</file>